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rPr>
          <w:rFonts w:hint="eastAsia" w:ascii="仿宋" w:hAnsi="仿宋" w:eastAsia="仿宋" w:cs="Times New Roman"/>
        </w:rPr>
      </w:pPr>
      <w:r>
        <w:rPr>
          <w:rFonts w:hint="eastAsia" w:ascii="仿宋" w:hAnsi="仿宋" w:eastAsia="仿宋" w:cs="Times New Roman"/>
        </w:rPr>
        <w:t>3.压裂返排液废水达标处理排放对周边生态系统健康风险评估及受纳泡泽自净能力提升研究</w:t>
      </w:r>
    </w:p>
    <w:tbl>
      <w:tblPr>
        <w:tblStyle w:val="9"/>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b/>
                <w:sz w:val="24"/>
                <w:szCs w:val="24"/>
              </w:rPr>
            </w:pPr>
            <w:r>
              <w:rPr>
                <w:rFonts w:ascii="仿宋" w:hAnsi="仿宋" w:eastAsia="仿宋" w:cs="Times New Roman"/>
                <w:b/>
                <w:sz w:val="24"/>
                <w:szCs w:val="24"/>
              </w:rPr>
              <w:t>一、课题背景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页岩油返排液产量随开井数提升而大幅提高，现返排液产量与复配用量无法形成水量平衡。目前，液压返排液通过产区工艺单元处理后，具有排放量大、储量大，成分复杂、盐度高的处置难题。厂区周边有封闭泡泽，面积近10平方公里可作为液压返排液达标排放的受纳水体。欲利用天然封闭泡泽设立具有水质净化功能暂存水池；即人工湿地+水库。节省深度处理工艺成本、增设水量暂存功能、提高压裂供水水质、反哺周边水环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但是压裂返排液储存后长期排放累积盐、油烃等污染入自然沟塘可能带来的生态风险、对原生生态系统结构和功能的冲击强度与后果不明，原生生态系统抗逆盐、油污能力不足，封闭泡泽受纳消解与自净能力等都有待进一步提升，累积排液储量饱和亟需探索压裂返排液循环利用及资源化方案。</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构建页岩油返排液废水处理技术体系及页岩油水资源循环利用模式，并进行低成本运行。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工艺末端出水水质为：</w:t>
            </w:r>
          </w:p>
          <w:tbl>
            <w:tblPr>
              <w:tblStyle w:val="9"/>
              <w:tblpPr w:leftFromText="180" w:rightFromText="180" w:vertAnchor="text" w:horzAnchor="page" w:tblpX="109" w:tblpY="299"/>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063"/>
              <w:gridCol w:w="922"/>
              <w:gridCol w:w="962"/>
              <w:gridCol w:w="937"/>
              <w:gridCol w:w="998"/>
              <w:gridCol w:w="961"/>
              <w:gridCol w:w="9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trPr>
              <w:tc>
                <w:tcPr>
                  <w:tcW w:w="550"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项目</w:t>
                  </w:r>
                </w:p>
              </w:tc>
              <w:tc>
                <w:tcPr>
                  <w:tcW w:w="609"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COD</w:t>
                  </w:r>
                  <w:r>
                    <w:rPr>
                      <w:rFonts w:hint="eastAsia" w:ascii="仿宋" w:hAnsi="仿宋" w:eastAsia="仿宋" w:cs="Times New Roman"/>
                      <w:sz w:val="18"/>
                      <w:szCs w:val="18"/>
                    </w:rPr>
                    <w:t>（mg/L）</w:t>
                  </w:r>
                </w:p>
              </w:tc>
              <w:tc>
                <w:tcPr>
                  <w:tcW w:w="528" w:type="pct"/>
                  <w:vAlign w:val="center"/>
                </w:tcPr>
                <w:p>
                  <w:pPr>
                    <w:jc w:val="center"/>
                    <w:rPr>
                      <w:rFonts w:hint="eastAsia" w:ascii="仿宋" w:hAnsi="仿宋" w:eastAsia="仿宋" w:cs="Times New Roman"/>
                      <w:sz w:val="18"/>
                      <w:szCs w:val="18"/>
                      <w:vertAlign w:val="subscript"/>
                    </w:rPr>
                  </w:pPr>
                  <w:r>
                    <w:rPr>
                      <w:rFonts w:ascii="仿宋" w:hAnsi="仿宋" w:eastAsia="仿宋" w:cs="Times New Roman"/>
                      <w:sz w:val="18"/>
                      <w:szCs w:val="18"/>
                    </w:rPr>
                    <w:t>BOD</w:t>
                  </w:r>
                  <w:r>
                    <w:rPr>
                      <w:rFonts w:ascii="仿宋" w:hAnsi="仿宋" w:eastAsia="仿宋" w:cs="Times New Roman"/>
                      <w:sz w:val="18"/>
                      <w:szCs w:val="18"/>
                      <w:vertAlign w:val="subscript"/>
                    </w:rPr>
                    <w:t>5</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51"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SS</w:t>
                  </w:r>
                  <w:r>
                    <w:rPr>
                      <w:rFonts w:hint="eastAsia" w:ascii="仿宋" w:hAnsi="仿宋" w:eastAsia="仿宋" w:cs="Times New Roman"/>
                      <w:sz w:val="18"/>
                      <w:szCs w:val="18"/>
                    </w:rPr>
                    <w:t>（mg/L）</w:t>
                  </w:r>
                </w:p>
              </w:tc>
              <w:tc>
                <w:tcPr>
                  <w:tcW w:w="536"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氨氮</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71"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总氮</w:t>
                  </w:r>
                  <w:r>
                    <w:rPr>
                      <w:rFonts w:hint="eastAsia" w:ascii="仿宋" w:hAnsi="仿宋" w:eastAsia="仿宋" w:cs="Times New Roman"/>
                      <w:sz w:val="18"/>
                      <w:szCs w:val="18"/>
                    </w:rPr>
                    <w:t>（mg/L）</w:t>
                  </w:r>
                </w:p>
              </w:tc>
              <w:tc>
                <w:tcPr>
                  <w:tcW w:w="550"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总磷</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pH</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进水水质</w:t>
                  </w:r>
                </w:p>
              </w:tc>
              <w:tc>
                <w:tcPr>
                  <w:tcW w:w="609"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1000~2500</w:t>
                  </w:r>
                </w:p>
              </w:tc>
              <w:tc>
                <w:tcPr>
                  <w:tcW w:w="528"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300~500</w:t>
                  </w:r>
                </w:p>
              </w:tc>
              <w:tc>
                <w:tcPr>
                  <w:tcW w:w="536"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40左右</w:t>
                  </w:r>
                </w:p>
              </w:tc>
              <w:tc>
                <w:tcPr>
                  <w:tcW w:w="57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50左右</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0.6</w:t>
                  </w:r>
                </w:p>
              </w:tc>
              <w:tc>
                <w:tcPr>
                  <w:tcW w:w="550" w:type="pct"/>
                </w:tcPr>
                <w:p>
                  <w:pPr>
                    <w:jc w:val="center"/>
                    <w:rPr>
                      <w:rFonts w:hint="eastAsia"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hint="eastAsia" w:ascii="仿宋" w:hAnsi="仿宋" w:eastAsia="仿宋" w:cs="Times New Roman"/>
                      <w:sz w:val="18"/>
                      <w:szCs w:val="18"/>
                    </w:rPr>
                  </w:pPr>
                  <w:r>
                    <w:rPr>
                      <w:rFonts w:hint="eastAsia" w:ascii="仿宋" w:hAnsi="仿宋" w:eastAsia="仿宋" w:cs="Times New Roman"/>
                      <w:sz w:val="18"/>
                      <w:szCs w:val="18"/>
                    </w:rPr>
                    <w:t>500~800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生化出水水质</w:t>
                  </w:r>
                </w:p>
              </w:tc>
              <w:tc>
                <w:tcPr>
                  <w:tcW w:w="609"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350</w:t>
                  </w:r>
                </w:p>
              </w:tc>
              <w:tc>
                <w:tcPr>
                  <w:tcW w:w="528"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2左右</w:t>
                  </w:r>
                </w:p>
              </w:tc>
              <w:tc>
                <w:tcPr>
                  <w:tcW w:w="57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10左右</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0.2</w:t>
                  </w:r>
                </w:p>
              </w:tc>
              <w:tc>
                <w:tcPr>
                  <w:tcW w:w="550" w:type="pct"/>
                </w:tcPr>
                <w:p>
                  <w:pPr>
                    <w:jc w:val="center"/>
                    <w:rPr>
                      <w:rFonts w:hint="eastAsia"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r>
          </w:tbl>
          <w:p>
            <w:pPr>
              <w:ind w:firstLine="480" w:firstLineChars="200"/>
              <w:rPr>
                <w:rFonts w:hint="eastAsia" w:ascii="仿宋" w:hAnsi="仿宋"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sz w:val="24"/>
                <w:szCs w:val="24"/>
              </w:rPr>
            </w:pPr>
            <w:r>
              <w:rPr>
                <w:rFonts w:ascii="仿宋" w:hAnsi="仿宋" w:eastAsia="仿宋" w:cs="Times New Roman"/>
                <w:b/>
                <w:sz w:val="24"/>
                <w:szCs w:val="24"/>
              </w:rPr>
              <w:t>二、</w:t>
            </w:r>
            <w:r>
              <w:rPr>
                <w:rFonts w:hint="eastAsia" w:ascii="仿宋" w:hAnsi="仿宋" w:eastAsia="仿宋" w:cs="Times New Roman"/>
                <w:b/>
                <w:sz w:val="24"/>
                <w:szCs w:val="24"/>
              </w:rPr>
              <w:t>揭榜需求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sz w:val="24"/>
                <w:szCs w:val="24"/>
              </w:rPr>
            </w:pPr>
            <w:r>
              <w:rPr>
                <w:rFonts w:ascii="仿宋" w:hAnsi="仿宋" w:eastAsia="仿宋" w:cs="Times New Roman"/>
                <w:sz w:val="24"/>
                <w:szCs w:val="24"/>
              </w:rPr>
              <w:t>1.</w:t>
            </w:r>
            <w:r>
              <w:rPr>
                <w:rFonts w:hint="eastAsia" w:ascii="仿宋" w:hAnsi="仿宋" w:eastAsia="仿宋" w:cs="Times New Roman"/>
                <w:sz w:val="24"/>
                <w:szCs w:val="24"/>
              </w:rPr>
              <w:t>研究人工湿地构建方案，深度削减特征污染物，提升泡泽自净能力；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w:t>
            </w:r>
            <w:r>
              <w:rPr>
                <w:rFonts w:hint="eastAsia" w:ascii="仿宋" w:hAnsi="仿宋" w:eastAsia="仿宋" w:cs="Times New Roman"/>
                <w:sz w:val="24"/>
                <w:szCs w:val="24"/>
              </w:rPr>
              <w:t>解决压裂返排液外排入自然生态系统的安全消纳问题；</w:t>
            </w:r>
          </w:p>
          <w:p>
            <w:pPr>
              <w:ind w:firstLine="480" w:firstLineChars="200"/>
              <w:rPr>
                <w:rFonts w:hint="eastAsia" w:ascii="仿宋" w:hAnsi="仿宋" w:eastAsia="仿宋" w:cs="Times New Roman"/>
                <w:sz w:val="24"/>
                <w:szCs w:val="24"/>
                <w:highlight w:val="yellow"/>
              </w:rPr>
            </w:pPr>
            <w:r>
              <w:rPr>
                <w:rFonts w:hint="eastAsia" w:ascii="仿宋" w:hAnsi="仿宋" w:eastAsia="仿宋" w:cs="Times New Roman"/>
                <w:sz w:val="24"/>
                <w:szCs w:val="24"/>
              </w:rPr>
              <w:t>3.研究泡泽内储水的复用方案，用于压裂返排液复配。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sz w:val="24"/>
                <w:szCs w:val="24"/>
              </w:rPr>
            </w:pPr>
            <w:r>
              <w:rPr>
                <w:rFonts w:ascii="仿宋" w:hAnsi="仿宋" w:eastAsia="仿宋" w:cs="Times New Roman"/>
                <w:b/>
                <w:sz w:val="24"/>
                <w:szCs w:val="24"/>
              </w:rPr>
              <w:t>三、考核指标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bCs/>
                <w:sz w:val="24"/>
                <w:szCs w:val="24"/>
              </w:rPr>
              <w:t>形成厂区周边封闭泡泽的水生态环境现状及生态系统健康评估报告；</w:t>
            </w:r>
          </w:p>
          <w:p>
            <w:pPr>
              <w:ind w:firstLine="480" w:firstLineChars="200"/>
              <w:rPr>
                <w:rFonts w:hint="eastAsia"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形成厂区周边封闭泡泽的消纳承载力评估及返排液对消纳水体生态环境潜在风险的预测与评价报告；</w:t>
            </w:r>
          </w:p>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3.基于系统平衡进行水质、水力核算，结合其他污染源的介入，提出达标排放返排液的循环利用与资源化消解方案</w:t>
            </w:r>
            <w:r>
              <w:rPr>
                <w:rFonts w:ascii="仿宋" w:hAnsi="仿宋" w:eastAsia="仿宋" w:cs="Times New Roman"/>
                <w:bCs/>
                <w:sz w:val="24"/>
                <w:szCs w:val="24"/>
              </w:rPr>
              <w:t>；</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4.提出泡泽人工湿地建设方案及中试设计（深度达到施工图），</w:t>
            </w:r>
            <w:r>
              <w:rPr>
                <w:rFonts w:hint="eastAsia" w:ascii="仿宋" w:hAnsi="仿宋" w:eastAsia="仿宋" w:cs="Times New Roman"/>
                <w:bCs/>
                <w:sz w:val="24"/>
                <w:szCs w:val="24"/>
              </w:rPr>
              <w:t>建立基于封闭泡泽的人工湿地深度油、盐同步处理修复工艺，</w:t>
            </w:r>
            <w:r>
              <w:rPr>
                <w:rFonts w:hint="eastAsia" w:ascii="仿宋" w:hAnsi="仿宋" w:eastAsia="仿宋" w:cs="Times New Roman"/>
                <w:sz w:val="24"/>
                <w:szCs w:val="24"/>
              </w:rPr>
              <w:t>人工湿地出水指标满足地表V标准（COD小于3</w:t>
            </w:r>
            <w:r>
              <w:rPr>
                <w:rFonts w:ascii="仿宋" w:hAnsi="仿宋" w:eastAsia="仿宋" w:cs="Times New Roman"/>
                <w:sz w:val="24"/>
                <w:szCs w:val="24"/>
              </w:rPr>
              <w:t>0</w:t>
            </w:r>
            <w:r>
              <w:rPr>
                <w:rFonts w:hint="eastAsia" w:ascii="仿宋" w:hAnsi="仿宋" w:eastAsia="仿宋" w:cs="Times New Roman"/>
                <w:sz w:val="24"/>
                <w:szCs w:val="24"/>
              </w:rPr>
              <w:t>，T</w:t>
            </w:r>
            <w:r>
              <w:rPr>
                <w:rFonts w:ascii="仿宋" w:hAnsi="仿宋" w:eastAsia="仿宋" w:cs="Times New Roman"/>
                <w:sz w:val="24"/>
                <w:szCs w:val="24"/>
              </w:rPr>
              <w:t>N</w:t>
            </w:r>
            <w:r>
              <w:rPr>
                <w:rFonts w:hint="eastAsia" w:ascii="仿宋" w:hAnsi="仿宋" w:eastAsia="仿宋" w:cs="Times New Roman"/>
                <w:sz w:val="24"/>
                <w:szCs w:val="24"/>
              </w:rPr>
              <w:t>小于1</w:t>
            </w:r>
            <w:r>
              <w:rPr>
                <w:rFonts w:ascii="仿宋" w:hAnsi="仿宋" w:eastAsia="仿宋" w:cs="Times New Roman"/>
                <w:sz w:val="24"/>
                <w:szCs w:val="24"/>
              </w:rPr>
              <w:t>5</w:t>
            </w:r>
            <w:r>
              <w:rPr>
                <w:rFonts w:hint="eastAsia" w:ascii="仿宋" w:hAnsi="仿宋" w:eastAsia="仿宋" w:cs="Times New Roman"/>
                <w:sz w:val="24"/>
                <w:szCs w:val="24"/>
              </w:rPr>
              <w:t>）；</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5</w:t>
            </w:r>
            <w:r>
              <w:rPr>
                <w:rFonts w:ascii="仿宋" w:hAnsi="仿宋" w:eastAsia="仿宋" w:cs="Times New Roman"/>
                <w:sz w:val="24"/>
                <w:szCs w:val="24"/>
              </w:rPr>
              <w:t>.</w:t>
            </w:r>
            <w:r>
              <w:rPr>
                <w:rFonts w:hint="eastAsia" w:ascii="仿宋" w:hAnsi="仿宋" w:eastAsia="仿宋" w:cs="Times New Roman"/>
                <w:sz w:val="24"/>
                <w:szCs w:val="24"/>
              </w:rPr>
              <w:t>配套人工湿地工艺运行方案；</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6.</w:t>
            </w:r>
            <w:r>
              <w:rPr>
                <w:rFonts w:hint="eastAsia" w:ascii="仿宋" w:hAnsi="仿宋" w:eastAsia="仿宋" w:cs="Times New Roman"/>
                <w:bCs/>
                <w:sz w:val="24"/>
                <w:szCs w:val="24"/>
              </w:rPr>
              <w:t>构建土著耐盐、油污植物及功能微生物菌种库，形成耐盐、油污植物-微生物联合净化技术方法；</w:t>
            </w:r>
            <w:r>
              <w:rPr>
                <w:rFonts w:ascii="仿宋" w:hAnsi="仿宋" w:eastAsia="仿宋" w:cs="Times New Roman"/>
                <w:sz w:val="24"/>
                <w:szCs w:val="24"/>
              </w:rPr>
              <w:t xml:space="preserve"> </w:t>
            </w:r>
          </w:p>
          <w:p>
            <w:pPr>
              <w:ind w:firstLine="480" w:firstLineChars="200"/>
              <w:rPr>
                <w:rFonts w:hint="eastAsia" w:ascii="仿宋" w:hAnsi="仿宋" w:eastAsia="仿宋" w:cs="Times New Roman"/>
                <w:sz w:val="24"/>
                <w:szCs w:val="24"/>
              </w:rPr>
            </w:pPr>
            <w:r>
              <w:rPr>
                <w:rFonts w:hint="eastAsia" w:ascii="仿宋" w:hAnsi="仿宋" w:eastAsia="仿宋" w:cs="Times New Roman"/>
                <w:bCs/>
                <w:sz w:val="24"/>
                <w:szCs w:val="24"/>
              </w:rPr>
              <w:t>7</w:t>
            </w:r>
            <w:r>
              <w:rPr>
                <w:rFonts w:ascii="仿宋" w:hAnsi="仿宋" w:eastAsia="仿宋" w:cs="Times New Roman"/>
                <w:bCs/>
                <w:sz w:val="24"/>
                <w:szCs w:val="24"/>
              </w:rPr>
              <w:t>.</w:t>
            </w:r>
            <w:r>
              <w:rPr>
                <w:rFonts w:hint="eastAsia" w:ascii="仿宋" w:hAnsi="仿宋" w:eastAsia="仿宋" w:cs="Times New Roman"/>
                <w:bCs/>
                <w:sz w:val="24"/>
                <w:szCs w:val="24"/>
              </w:rPr>
              <w:t>申请发明专利</w:t>
            </w:r>
            <w:r>
              <w:rPr>
                <w:rFonts w:ascii="仿宋" w:hAnsi="仿宋" w:eastAsia="仿宋" w:cs="Times New Roman"/>
                <w:bCs/>
                <w:sz w:val="24"/>
                <w:szCs w:val="24"/>
              </w:rPr>
              <w:t>3</w:t>
            </w:r>
            <w:r>
              <w:rPr>
                <w:rFonts w:hint="eastAsia" w:ascii="仿宋" w:hAnsi="仿宋" w:eastAsia="仿宋" w:cs="Times New Roman"/>
                <w:bCs/>
                <w:sz w:val="24"/>
                <w:szCs w:val="24"/>
              </w:rPr>
              <w:t>项，授权实用新型专利5项，发表文章3-5篇。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四、揭榜团队要求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lang w:eastAsia="zh-CN"/>
              </w:rPr>
            </w:pPr>
            <w:r>
              <w:rPr>
                <w:rFonts w:hint="eastAsia" w:ascii="仿宋" w:hAnsi="仿宋" w:eastAsia="仿宋" w:cs="Times New Roman"/>
                <w:bCs/>
                <w:sz w:val="24"/>
                <w:szCs w:val="24"/>
              </w:rPr>
              <w:t>团队应熟悉生态系统健康诊断与生态风险评估流程及技术方法，具备生态修复成熟技术经验并拥有我国北方水生态环境治理成功实际工程案例。拥有相应技术的国家发明专利</w:t>
            </w:r>
            <w:r>
              <w:rPr>
                <w:rFonts w:hint="eastAsia" w:ascii="仿宋" w:hAnsi="仿宋" w:eastAsia="仿宋" w:cs="Times New Roman"/>
                <w:bCs/>
                <w:sz w:val="24"/>
                <w:szCs w:val="24"/>
                <w:lang w:eastAsia="zh-CN"/>
              </w:rPr>
              <w:t>，优先考虑曾利用此类专利在课题或项目中取得省级及以上奖项的候选团队。</w:t>
            </w:r>
            <w:bookmarkStart w:id="0" w:name="_GoBack"/>
            <w:bookmarkEnd w:id="0"/>
          </w:p>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课题实施周期2</w:t>
            </w:r>
            <w:r>
              <w:rPr>
                <w:rFonts w:ascii="仿宋" w:hAnsi="仿宋" w:eastAsia="仿宋" w:cs="Times New Roman"/>
                <w:bCs/>
                <w:sz w:val="24"/>
                <w:szCs w:val="24"/>
              </w:rPr>
              <w:t>4</w:t>
            </w:r>
            <w:r>
              <w:rPr>
                <w:rFonts w:hint="eastAsia" w:ascii="仿宋" w:hAnsi="仿宋" w:eastAsia="仿宋" w:cs="Times New Roman"/>
                <w:bCs/>
                <w:sz w:val="24"/>
                <w:szCs w:val="24"/>
              </w:rPr>
              <w:t>个月。分阶段提供成果。</w:t>
            </w:r>
          </w:p>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第一阶段（2～3个月）：提供人工湿地中试成果。第二阶段（3～6个月）：提供生态系统健康风险评估报告。第四阶段（3～6个月）指导建设人工湿地。第五阶段（6个月）：构建植物-微生物联合净化技术并应用。第六阶段（12个月）：知识产权类撰写、申报、发表。其中，各阶段宜并行推进，第四、五、六阶段宜重叠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五、</w:t>
            </w:r>
            <w:r>
              <w:rPr>
                <w:rFonts w:ascii="仿宋" w:hAnsi="仿宋" w:eastAsia="仿宋" w:cs="Times New Roman"/>
                <w:b/>
                <w:sz w:val="24"/>
                <w:szCs w:val="24"/>
              </w:rPr>
              <w:t>课题实施金额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ascii="仿宋" w:hAnsi="仿宋" w:eastAsia="仿宋" w:cs="Times New Roman"/>
                <w:bCs/>
                <w:sz w:val="24"/>
                <w:szCs w:val="24"/>
              </w:rPr>
              <w:t>本课题总金额</w:t>
            </w:r>
            <w:r>
              <w:rPr>
                <w:rFonts w:hint="eastAsia" w:ascii="仿宋" w:hAnsi="仿宋" w:eastAsia="仿宋" w:cs="Times New Roman"/>
                <w:bCs/>
                <w:sz w:val="24"/>
                <w:szCs w:val="24"/>
              </w:rPr>
              <w:t>150万元。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六、技术联系人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陶红志 18345085550</w:t>
            </w:r>
          </w:p>
        </w:tc>
      </w:tr>
    </w:tbl>
    <w:p>
      <w:pPr>
        <w:widowControl/>
        <w:jc w:val="left"/>
        <w:rPr>
          <w:rFonts w:hint="eastAsia" w:ascii="仿宋" w:hAnsi="仿宋" w:eastAsia="仿宋"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F03C1"/>
    <w:multiLevelType w:val="multilevel"/>
    <w:tmpl w:val="0F3F03C1"/>
    <w:lvl w:ilvl="0" w:tentative="0">
      <w:start w:val="1"/>
      <w:numFmt w:val="decimal"/>
      <w:pStyle w:val="2"/>
      <w:lvlText w:val="%1."/>
      <w:lvlJc w:val="left"/>
      <w:pPr>
        <w:ind w:left="7087" w:hanging="425"/>
      </w:pPr>
    </w:lvl>
    <w:lvl w:ilvl="1" w:tentative="0">
      <w:start w:val="1"/>
      <w:numFmt w:val="decimal"/>
      <w:lvlText w:val="%1.%2."/>
      <w:lvlJc w:val="left"/>
      <w:pPr>
        <w:ind w:left="7229" w:hanging="567"/>
      </w:pPr>
    </w:lvl>
    <w:lvl w:ilvl="2" w:tentative="0">
      <w:start w:val="1"/>
      <w:numFmt w:val="decimal"/>
      <w:lvlText w:val="%1.%2.%3."/>
      <w:lvlJc w:val="left"/>
      <w:pPr>
        <w:ind w:left="7371" w:hanging="709"/>
      </w:pPr>
    </w:lvl>
    <w:lvl w:ilvl="3" w:tentative="0">
      <w:start w:val="1"/>
      <w:numFmt w:val="decimal"/>
      <w:lvlText w:val="%1.%2.%3.%4."/>
      <w:lvlJc w:val="left"/>
      <w:pPr>
        <w:ind w:left="7513" w:hanging="851"/>
      </w:pPr>
    </w:lvl>
    <w:lvl w:ilvl="4" w:tentative="0">
      <w:start w:val="1"/>
      <w:numFmt w:val="decimal"/>
      <w:lvlText w:val="%1.%2.%3.%4.%5."/>
      <w:lvlJc w:val="left"/>
      <w:pPr>
        <w:ind w:left="7654" w:hanging="992"/>
      </w:pPr>
    </w:lvl>
    <w:lvl w:ilvl="5" w:tentative="0">
      <w:start w:val="1"/>
      <w:numFmt w:val="decimal"/>
      <w:lvlText w:val="%1.%2.%3.%4.%5.%6."/>
      <w:lvlJc w:val="left"/>
      <w:pPr>
        <w:ind w:left="7796" w:hanging="1134"/>
      </w:pPr>
    </w:lvl>
    <w:lvl w:ilvl="6" w:tentative="0">
      <w:start w:val="1"/>
      <w:numFmt w:val="decimal"/>
      <w:lvlText w:val="%1.%2.%3.%4.%5.%6.%7."/>
      <w:lvlJc w:val="left"/>
      <w:pPr>
        <w:ind w:left="7938" w:hanging="1276"/>
      </w:pPr>
    </w:lvl>
    <w:lvl w:ilvl="7" w:tentative="0">
      <w:start w:val="1"/>
      <w:numFmt w:val="decimal"/>
      <w:lvlText w:val="%1.%2.%3.%4.%5.%6.%7.%8."/>
      <w:lvlJc w:val="left"/>
      <w:pPr>
        <w:ind w:left="8080" w:hanging="1418"/>
      </w:pPr>
    </w:lvl>
    <w:lvl w:ilvl="8" w:tentative="0">
      <w:start w:val="1"/>
      <w:numFmt w:val="decimal"/>
      <w:lvlText w:val="%1.%2.%3.%4.%5.%6.%7.%8.%9."/>
      <w:lvlJc w:val="left"/>
      <w:pPr>
        <w:ind w:left="8221"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FiYTRkNjRhNDFiOTgzZTFhNTkzYjlkOGQ1ZWI5ODAifQ=="/>
    <w:docVar w:name="KSO_WPS_MARK_KEY" w:val="e3e849f3-c3c1-4110-8f53-4b7270931519"/>
  </w:docVars>
  <w:rsids>
    <w:rsidRoot w:val="00C364F6"/>
    <w:rsid w:val="00011CD6"/>
    <w:rsid w:val="00016983"/>
    <w:rsid w:val="00063462"/>
    <w:rsid w:val="000666E1"/>
    <w:rsid w:val="00066BA2"/>
    <w:rsid w:val="00071DA2"/>
    <w:rsid w:val="000838F3"/>
    <w:rsid w:val="00096CCA"/>
    <w:rsid w:val="000B3577"/>
    <w:rsid w:val="000B7CB4"/>
    <w:rsid w:val="000C0557"/>
    <w:rsid w:val="000C4F5B"/>
    <w:rsid w:val="000E241B"/>
    <w:rsid w:val="000E27C8"/>
    <w:rsid w:val="001105D6"/>
    <w:rsid w:val="001121AC"/>
    <w:rsid w:val="00117E2E"/>
    <w:rsid w:val="001209C0"/>
    <w:rsid w:val="001271E6"/>
    <w:rsid w:val="00130FCB"/>
    <w:rsid w:val="00140BF9"/>
    <w:rsid w:val="00173B0D"/>
    <w:rsid w:val="001B1471"/>
    <w:rsid w:val="001C6DE4"/>
    <w:rsid w:val="002315D2"/>
    <w:rsid w:val="00257625"/>
    <w:rsid w:val="0029530B"/>
    <w:rsid w:val="002A108C"/>
    <w:rsid w:val="002A4F91"/>
    <w:rsid w:val="002A542B"/>
    <w:rsid w:val="002A6EF8"/>
    <w:rsid w:val="002C06AD"/>
    <w:rsid w:val="002F7C21"/>
    <w:rsid w:val="0031157C"/>
    <w:rsid w:val="00317F5D"/>
    <w:rsid w:val="00323E38"/>
    <w:rsid w:val="003629B0"/>
    <w:rsid w:val="003631FF"/>
    <w:rsid w:val="003701DE"/>
    <w:rsid w:val="00374B50"/>
    <w:rsid w:val="003818EB"/>
    <w:rsid w:val="00382408"/>
    <w:rsid w:val="00383DC9"/>
    <w:rsid w:val="003A2175"/>
    <w:rsid w:val="003F7317"/>
    <w:rsid w:val="00405537"/>
    <w:rsid w:val="00425F8D"/>
    <w:rsid w:val="00431D10"/>
    <w:rsid w:val="0044529D"/>
    <w:rsid w:val="00463C87"/>
    <w:rsid w:val="00474F64"/>
    <w:rsid w:val="004848BC"/>
    <w:rsid w:val="00492EA2"/>
    <w:rsid w:val="004B49B7"/>
    <w:rsid w:val="004C0F94"/>
    <w:rsid w:val="004D47E0"/>
    <w:rsid w:val="004E0147"/>
    <w:rsid w:val="004F73A0"/>
    <w:rsid w:val="00510281"/>
    <w:rsid w:val="005259B7"/>
    <w:rsid w:val="00534DFF"/>
    <w:rsid w:val="0056684B"/>
    <w:rsid w:val="00570A21"/>
    <w:rsid w:val="0059218A"/>
    <w:rsid w:val="005B2F85"/>
    <w:rsid w:val="005D45B5"/>
    <w:rsid w:val="005F5756"/>
    <w:rsid w:val="00614546"/>
    <w:rsid w:val="00625C58"/>
    <w:rsid w:val="006335E8"/>
    <w:rsid w:val="00642D44"/>
    <w:rsid w:val="00656673"/>
    <w:rsid w:val="00661686"/>
    <w:rsid w:val="006B117D"/>
    <w:rsid w:val="006B130B"/>
    <w:rsid w:val="006C74BD"/>
    <w:rsid w:val="006E6402"/>
    <w:rsid w:val="00703614"/>
    <w:rsid w:val="00713DDD"/>
    <w:rsid w:val="007333EC"/>
    <w:rsid w:val="00733A59"/>
    <w:rsid w:val="00736DA7"/>
    <w:rsid w:val="00744E61"/>
    <w:rsid w:val="00746E04"/>
    <w:rsid w:val="00765C68"/>
    <w:rsid w:val="00777086"/>
    <w:rsid w:val="00786BF3"/>
    <w:rsid w:val="007B2194"/>
    <w:rsid w:val="007C02D5"/>
    <w:rsid w:val="007D59F0"/>
    <w:rsid w:val="007E5DAC"/>
    <w:rsid w:val="007F1250"/>
    <w:rsid w:val="007F20AD"/>
    <w:rsid w:val="00803400"/>
    <w:rsid w:val="00804382"/>
    <w:rsid w:val="00822A94"/>
    <w:rsid w:val="0084300E"/>
    <w:rsid w:val="00844262"/>
    <w:rsid w:val="008478F7"/>
    <w:rsid w:val="00862362"/>
    <w:rsid w:val="0086402B"/>
    <w:rsid w:val="00866014"/>
    <w:rsid w:val="00875CEE"/>
    <w:rsid w:val="0088743C"/>
    <w:rsid w:val="009476E5"/>
    <w:rsid w:val="009D4380"/>
    <w:rsid w:val="009F6A9D"/>
    <w:rsid w:val="00A05CFB"/>
    <w:rsid w:val="00A072EE"/>
    <w:rsid w:val="00A31727"/>
    <w:rsid w:val="00A3328C"/>
    <w:rsid w:val="00A37F30"/>
    <w:rsid w:val="00A4147A"/>
    <w:rsid w:val="00A91BDB"/>
    <w:rsid w:val="00B44349"/>
    <w:rsid w:val="00B7383B"/>
    <w:rsid w:val="00B868C7"/>
    <w:rsid w:val="00BF2394"/>
    <w:rsid w:val="00C07EBF"/>
    <w:rsid w:val="00C14106"/>
    <w:rsid w:val="00C1518E"/>
    <w:rsid w:val="00C236BC"/>
    <w:rsid w:val="00C364F6"/>
    <w:rsid w:val="00C637E1"/>
    <w:rsid w:val="00C73F80"/>
    <w:rsid w:val="00CE11BD"/>
    <w:rsid w:val="00D01E95"/>
    <w:rsid w:val="00D1538F"/>
    <w:rsid w:val="00D60AAF"/>
    <w:rsid w:val="00D73FB4"/>
    <w:rsid w:val="00D757B8"/>
    <w:rsid w:val="00D8265F"/>
    <w:rsid w:val="00DB0E7D"/>
    <w:rsid w:val="00DB34EE"/>
    <w:rsid w:val="00DD0C2D"/>
    <w:rsid w:val="00DD0CF6"/>
    <w:rsid w:val="00DD3CAA"/>
    <w:rsid w:val="00DF00BA"/>
    <w:rsid w:val="00E23F53"/>
    <w:rsid w:val="00E44FC4"/>
    <w:rsid w:val="00E75478"/>
    <w:rsid w:val="00E758B0"/>
    <w:rsid w:val="00E769C9"/>
    <w:rsid w:val="00EC38C0"/>
    <w:rsid w:val="00EE0303"/>
    <w:rsid w:val="00EF19E3"/>
    <w:rsid w:val="00F022E2"/>
    <w:rsid w:val="00F065E2"/>
    <w:rsid w:val="00F12CC7"/>
    <w:rsid w:val="00F333E9"/>
    <w:rsid w:val="00F5004A"/>
    <w:rsid w:val="00F917A2"/>
    <w:rsid w:val="00F9507A"/>
    <w:rsid w:val="00FA079D"/>
    <w:rsid w:val="0A6B0492"/>
    <w:rsid w:val="28DA1680"/>
    <w:rsid w:val="3F263D41"/>
    <w:rsid w:val="45D3027B"/>
    <w:rsid w:val="4D1B0752"/>
    <w:rsid w:val="6E5A4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2"/>
    <w:basedOn w:val="3"/>
    <w:next w:val="1"/>
    <w:link w:val="14"/>
    <w:unhideWhenUsed/>
    <w:qFormat/>
    <w:uiPriority w:val="9"/>
    <w:pPr>
      <w:numPr>
        <w:ilvl w:val="0"/>
        <w:numId w:val="1"/>
      </w:numPr>
      <w:snapToGrid w:val="0"/>
      <w:spacing w:after="156" w:afterLines="50" w:line="560" w:lineRule="exact"/>
      <w:ind w:firstLine="0" w:firstLineChars="0"/>
      <w:jc w:val="center"/>
      <w:outlineLvl w:val="1"/>
    </w:pPr>
    <w:rPr>
      <w:rFonts w:ascii="方正小标宋_GBK" w:eastAsia="方正小标宋_GBK"/>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List Paragraph"/>
    <w:basedOn w:val="1"/>
    <w:qFormat/>
    <w:uiPriority w:val="34"/>
    <w:pPr>
      <w:ind w:firstLine="420" w:firstLineChars="200"/>
    </w:pPr>
  </w:style>
  <w:style w:type="paragraph" w:styleId="4">
    <w:name w:val="annotation text"/>
    <w:basedOn w:val="1"/>
    <w:link w:val="16"/>
    <w:semiHidden/>
    <w:unhideWhenUsed/>
    <w:qFormat/>
    <w:uiPriority w:val="99"/>
    <w:pPr>
      <w:jc w:val="left"/>
    </w:pPr>
  </w:style>
  <w:style w:type="paragraph" w:styleId="5">
    <w:name w:val="Balloon Text"/>
    <w:basedOn w:val="1"/>
    <w:link w:val="18"/>
    <w:semiHidden/>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2"/>
    <w:qFormat/>
    <w:uiPriority w:val="99"/>
    <w:pPr>
      <w:tabs>
        <w:tab w:val="center" w:pos="4153"/>
        <w:tab w:val="right" w:pos="8306"/>
      </w:tabs>
      <w:snapToGrid w:val="0"/>
      <w:jc w:val="center"/>
    </w:pPr>
    <w:rPr>
      <w:sz w:val="18"/>
      <w:szCs w:val="18"/>
    </w:rPr>
  </w:style>
  <w:style w:type="paragraph" w:styleId="8">
    <w:name w:val="annotation subject"/>
    <w:basedOn w:val="4"/>
    <w:next w:val="4"/>
    <w:link w:val="17"/>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标题 2 字符"/>
    <w:basedOn w:val="10"/>
    <w:link w:val="2"/>
    <w:qFormat/>
    <w:uiPriority w:val="9"/>
    <w:rPr>
      <w:rFonts w:ascii="方正小标宋_GBK" w:eastAsia="方正小标宋_GBK"/>
      <w:sz w:val="36"/>
      <w:szCs w:val="36"/>
      <w14:ligatures w14:val="none"/>
    </w:rPr>
  </w:style>
  <w:style w:type="paragraph" w:customStyle="1" w:styleId="15">
    <w:name w:val="表格"/>
    <w:basedOn w:val="1"/>
    <w:next w:val="1"/>
    <w:qFormat/>
    <w:uiPriority w:val="0"/>
    <w:pPr>
      <w:jc w:val="left"/>
    </w:pPr>
    <w:rPr>
      <w:rFonts w:ascii="Times New Roman" w:hAnsi="Times New Roman" w:eastAsia="宋体" w:cs="Times New Roman"/>
      <w:sz w:val="18"/>
      <w:szCs w:val="24"/>
    </w:rPr>
  </w:style>
  <w:style w:type="character" w:customStyle="1" w:styleId="16">
    <w:name w:val="批注文字 字符"/>
    <w:basedOn w:val="10"/>
    <w:link w:val="4"/>
    <w:semiHidden/>
    <w:qFormat/>
    <w:uiPriority w:val="99"/>
    <w:rPr>
      <w:kern w:val="2"/>
      <w:sz w:val="21"/>
      <w:szCs w:val="22"/>
    </w:rPr>
  </w:style>
  <w:style w:type="character" w:customStyle="1" w:styleId="17">
    <w:name w:val="批注主题 字符"/>
    <w:basedOn w:val="16"/>
    <w:link w:val="8"/>
    <w:semiHidden/>
    <w:qFormat/>
    <w:uiPriority w:val="99"/>
    <w:rPr>
      <w:b/>
      <w:bCs/>
      <w:kern w:val="2"/>
      <w:sz w:val="21"/>
      <w:szCs w:val="22"/>
    </w:rPr>
  </w:style>
  <w:style w:type="character" w:customStyle="1" w:styleId="18">
    <w:name w:val="批注框文本 字符"/>
    <w:basedOn w:val="10"/>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1151</Words>
  <Characters>1249</Characters>
  <Lines>9</Lines>
  <Paragraphs>2</Paragraphs>
  <TotalTime>281</TotalTime>
  <ScaleCrop>false</ScaleCrop>
  <LinksUpToDate>false</LinksUpToDate>
  <CharactersWithSpaces>1251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2024-07-19T07:01:00Z</dcterms:created>
  <dc:creator>刘鹏</dc:creator>
  <cp:lastModifiedBy>爱与执着</cp:lastModifiedBy>
  <dcterms:modified xsi:type="dcterms:W3CDTF">2024-09-02T03:10:19Z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DF3DB6B01AF24A469FE1568917951EF3_13</vt:lpwstr>
  </property>
  <property fmtid="{D5CDD505-2E9C-101B-9397-08002B2CF9AE}" pid="3" name="KSOProductBuildVer">
    <vt:lpwstr>2052-11.1.0.14309</vt:lpwstr>
  </property>
</Properties>
</file>