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snapToGrid w:val="0"/>
        <w:spacing w:after="156" w:afterLines="50" w:line="560" w:lineRule="exact"/>
        <w:jc w:val="center"/>
        <w:rPr>
          <w:rFonts w:ascii="仿宋" w:hAnsi="仿宋" w:eastAsia="仿宋" w:cs="Times New Roman"/>
          <w:b w:val="0"/>
          <w:sz w:val="36"/>
          <w:szCs w:val="36"/>
        </w:rPr>
      </w:pPr>
      <w:r>
        <w:rPr>
          <w:rFonts w:hint="eastAsia" w:ascii="仿宋" w:hAnsi="仿宋" w:eastAsia="仿宋" w:cs="Times New Roman"/>
          <w:b w:val="0"/>
          <w:sz w:val="36"/>
          <w:szCs w:val="36"/>
        </w:rPr>
        <w:t>4.页岩油压裂返排液深度处理技术研究</w:t>
      </w:r>
    </w:p>
    <w:tbl>
      <w:tblPr>
        <w:tblStyle w:val="6"/>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ascii="仿宋" w:hAnsi="仿宋" w:eastAsia="仿宋" w:cs="Times New Roman"/>
                <w:b/>
                <w:sz w:val="24"/>
                <w:szCs w:val="24"/>
              </w:rPr>
            </w:pPr>
            <w:r>
              <w:rPr>
                <w:rFonts w:ascii="仿宋" w:hAnsi="仿宋" w:eastAsia="仿宋" w:cs="Times New Roman"/>
                <w:b/>
                <w:sz w:val="24"/>
                <w:szCs w:val="24"/>
              </w:rPr>
              <w:t>一、课题背景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ascii="仿宋" w:hAnsi="仿宋" w:eastAsia="仿宋" w:cs="Times New Roman"/>
                <w:sz w:val="24"/>
                <w:szCs w:val="24"/>
              </w:rPr>
            </w:pPr>
            <w:r>
              <w:rPr>
                <w:rFonts w:hint="eastAsia" w:ascii="仿宋" w:hAnsi="仿宋" w:eastAsia="仿宋" w:cs="Times New Roman"/>
                <w:sz w:val="24"/>
                <w:szCs w:val="24"/>
              </w:rPr>
              <w:t>古龙地区的页岩油开采依赖水力压裂技术，加剧了地方水资源的压力；同时，开采过程产生的返排液若处理不当，将对环境造成污染。面对这些挑战，确保水资源的高效利用和废水的安全处理成为页岩油产业可持续发展的核心。需要构建页岩油返排液废水处理技术体系及页岩油水资源循环利用模式。</w:t>
            </w: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目前污水处理厂设计处理水量1</w:t>
            </w:r>
            <w:r>
              <w:rPr>
                <w:rFonts w:ascii="仿宋" w:hAnsi="仿宋" w:eastAsia="仿宋" w:cs="Times New Roman"/>
                <w:sz w:val="24"/>
                <w:szCs w:val="24"/>
              </w:rPr>
              <w:t>.5万吨/天</w:t>
            </w:r>
            <w:r>
              <w:rPr>
                <w:rFonts w:hint="eastAsia" w:ascii="仿宋" w:hAnsi="仿宋" w:eastAsia="仿宋" w:cs="Times New Roman"/>
                <w:sz w:val="24"/>
                <w:szCs w:val="24"/>
              </w:rPr>
              <w:t>，处理工艺为：调节池+预处理（隔油沉淀+混凝沉淀+涡凹气浮+溶气气浮）+水解酸化+分段进水多级AO+二沉池。深度处理工艺使用两级RO反渗透撬装设备，在厂内储池满负荷时启动，使废水达标外排至附近封闭泡泽水。</w:t>
            </w: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达标排放水质为：COD地表Ⅳ（≤30mg/L），总氮一级A（≤15mg/L），TDS为1000mg/L以下，其他指标地表Ⅴ类。</w:t>
            </w: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23年夏季使用两级RO反渗透撬装设备处理预处理工艺的“双20”产水，成本大、经济性低，设备易堵塞，另有浓水难处理问题。</w:t>
            </w:r>
          </w:p>
          <w:p>
            <w:pPr>
              <w:ind w:firstLine="480" w:firstLineChars="200"/>
              <w:rPr>
                <w:rFonts w:ascii="仿宋" w:hAnsi="仿宋" w:eastAsia="仿宋" w:cs="Times New Roman"/>
                <w:sz w:val="24"/>
                <w:szCs w:val="24"/>
              </w:rPr>
            </w:pP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预处理出水水质为：</w:t>
            </w:r>
          </w:p>
          <w:tbl>
            <w:tblPr>
              <w:tblStyle w:val="6"/>
              <w:tblpPr w:leftFromText="180" w:rightFromText="180" w:vertAnchor="text" w:horzAnchor="page" w:tblpX="109" w:tblpY="299"/>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026"/>
              <w:gridCol w:w="961"/>
              <w:gridCol w:w="962"/>
              <w:gridCol w:w="936"/>
              <w:gridCol w:w="997"/>
              <w:gridCol w:w="961"/>
              <w:gridCol w:w="961"/>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550" w:type="pct"/>
                  <w:vAlign w:val="center"/>
                </w:tcPr>
                <w:p>
                  <w:pPr>
                    <w:jc w:val="center"/>
                    <w:rPr>
                      <w:rFonts w:ascii="仿宋" w:hAnsi="仿宋" w:eastAsia="仿宋" w:cs="Times New Roman"/>
                      <w:sz w:val="18"/>
                      <w:szCs w:val="18"/>
                    </w:rPr>
                  </w:pPr>
                  <w:r>
                    <w:rPr>
                      <w:rFonts w:ascii="仿宋" w:hAnsi="仿宋" w:eastAsia="仿宋" w:cs="Times New Roman"/>
                      <w:sz w:val="18"/>
                      <w:szCs w:val="18"/>
                    </w:rPr>
                    <w:t>项目</w:t>
                  </w:r>
                </w:p>
              </w:tc>
              <w:tc>
                <w:tcPr>
                  <w:tcW w:w="587" w:type="pct"/>
                  <w:vAlign w:val="center"/>
                </w:tcPr>
                <w:p>
                  <w:pPr>
                    <w:jc w:val="center"/>
                    <w:rPr>
                      <w:rFonts w:ascii="仿宋" w:hAnsi="仿宋" w:eastAsia="仿宋" w:cs="Times New Roman"/>
                      <w:sz w:val="18"/>
                      <w:szCs w:val="18"/>
                    </w:rPr>
                  </w:pPr>
                  <w:r>
                    <w:rPr>
                      <w:rFonts w:ascii="仿宋" w:hAnsi="仿宋" w:eastAsia="仿宋" w:cs="Times New Roman"/>
                      <w:sz w:val="18"/>
                      <w:szCs w:val="18"/>
                    </w:rPr>
                    <w:t>COD</w:t>
                  </w:r>
                  <w:r>
                    <w:rPr>
                      <w:rFonts w:hint="eastAsia" w:ascii="仿宋" w:hAnsi="仿宋" w:eastAsia="仿宋" w:cs="Times New Roman"/>
                      <w:sz w:val="18"/>
                      <w:szCs w:val="18"/>
                    </w:rPr>
                    <w:t>（mg/L）</w:t>
                  </w:r>
                </w:p>
              </w:tc>
              <w:tc>
                <w:tcPr>
                  <w:tcW w:w="550" w:type="pct"/>
                  <w:vAlign w:val="center"/>
                </w:tcPr>
                <w:p>
                  <w:pPr>
                    <w:jc w:val="center"/>
                    <w:rPr>
                      <w:rFonts w:ascii="仿宋" w:hAnsi="仿宋" w:eastAsia="仿宋" w:cs="Times New Roman"/>
                      <w:sz w:val="18"/>
                      <w:szCs w:val="18"/>
                      <w:vertAlign w:val="subscript"/>
                    </w:rPr>
                  </w:pPr>
                  <w:r>
                    <w:rPr>
                      <w:rFonts w:ascii="仿宋" w:hAnsi="仿宋" w:eastAsia="仿宋" w:cs="Times New Roman"/>
                      <w:sz w:val="18"/>
                      <w:szCs w:val="18"/>
                    </w:rPr>
                    <w:t>BOD</w:t>
                  </w:r>
                  <w:r>
                    <w:rPr>
                      <w:rFonts w:ascii="仿宋" w:hAnsi="仿宋" w:eastAsia="仿宋" w:cs="Times New Roman"/>
                      <w:sz w:val="18"/>
                      <w:szCs w:val="18"/>
                      <w:vertAlign w:val="subscript"/>
                    </w:rPr>
                    <w:t>5</w:t>
                  </w:r>
                </w:p>
                <w:p>
                  <w:pPr>
                    <w:jc w:val="center"/>
                    <w:rPr>
                      <w:rFonts w:ascii="仿宋" w:hAnsi="仿宋" w:eastAsia="仿宋" w:cs="Times New Roman"/>
                      <w:sz w:val="18"/>
                      <w:szCs w:val="18"/>
                    </w:rPr>
                  </w:pPr>
                  <w:r>
                    <w:rPr>
                      <w:rFonts w:hint="eastAsia" w:ascii="仿宋" w:hAnsi="仿宋" w:eastAsia="仿宋" w:cs="Times New Roman"/>
                      <w:sz w:val="18"/>
                      <w:szCs w:val="18"/>
                    </w:rPr>
                    <w:t>（mg/L）</w:t>
                  </w:r>
                </w:p>
              </w:tc>
              <w:tc>
                <w:tcPr>
                  <w:tcW w:w="551" w:type="pct"/>
                  <w:vAlign w:val="center"/>
                </w:tcPr>
                <w:p>
                  <w:pPr>
                    <w:jc w:val="center"/>
                    <w:rPr>
                      <w:rFonts w:ascii="仿宋" w:hAnsi="仿宋" w:eastAsia="仿宋" w:cs="Times New Roman"/>
                      <w:sz w:val="18"/>
                      <w:szCs w:val="18"/>
                    </w:rPr>
                  </w:pPr>
                  <w:r>
                    <w:rPr>
                      <w:rFonts w:ascii="仿宋" w:hAnsi="仿宋" w:eastAsia="仿宋" w:cs="Times New Roman"/>
                      <w:sz w:val="18"/>
                      <w:szCs w:val="18"/>
                    </w:rPr>
                    <w:t>SS</w:t>
                  </w:r>
                  <w:r>
                    <w:rPr>
                      <w:rFonts w:hint="eastAsia" w:ascii="仿宋" w:hAnsi="仿宋" w:eastAsia="仿宋" w:cs="Times New Roman"/>
                      <w:sz w:val="18"/>
                      <w:szCs w:val="18"/>
                    </w:rPr>
                    <w:t>（mg/L）</w:t>
                  </w:r>
                </w:p>
              </w:tc>
              <w:tc>
                <w:tcPr>
                  <w:tcW w:w="536" w:type="pct"/>
                  <w:vAlign w:val="center"/>
                </w:tcPr>
                <w:p>
                  <w:pPr>
                    <w:jc w:val="center"/>
                    <w:rPr>
                      <w:rFonts w:ascii="仿宋" w:hAnsi="仿宋" w:eastAsia="仿宋" w:cs="Times New Roman"/>
                      <w:sz w:val="18"/>
                      <w:szCs w:val="18"/>
                    </w:rPr>
                  </w:pPr>
                  <w:r>
                    <w:rPr>
                      <w:rFonts w:ascii="仿宋" w:hAnsi="仿宋" w:eastAsia="仿宋" w:cs="Times New Roman"/>
                      <w:sz w:val="18"/>
                      <w:szCs w:val="18"/>
                    </w:rPr>
                    <w:t>氨氮</w:t>
                  </w:r>
                </w:p>
                <w:p>
                  <w:pPr>
                    <w:jc w:val="center"/>
                    <w:rPr>
                      <w:rFonts w:ascii="仿宋" w:hAnsi="仿宋" w:eastAsia="仿宋" w:cs="Times New Roman"/>
                      <w:sz w:val="18"/>
                      <w:szCs w:val="18"/>
                    </w:rPr>
                  </w:pPr>
                  <w:r>
                    <w:rPr>
                      <w:rFonts w:hint="eastAsia" w:ascii="仿宋" w:hAnsi="仿宋" w:eastAsia="仿宋" w:cs="Times New Roman"/>
                      <w:sz w:val="18"/>
                      <w:szCs w:val="18"/>
                    </w:rPr>
                    <w:t>（mg/L）</w:t>
                  </w:r>
                </w:p>
              </w:tc>
              <w:tc>
                <w:tcPr>
                  <w:tcW w:w="571" w:type="pct"/>
                  <w:vAlign w:val="center"/>
                </w:tcPr>
                <w:p>
                  <w:pPr>
                    <w:jc w:val="center"/>
                    <w:rPr>
                      <w:rFonts w:ascii="仿宋" w:hAnsi="仿宋" w:eastAsia="仿宋" w:cs="Times New Roman"/>
                      <w:sz w:val="18"/>
                      <w:szCs w:val="18"/>
                    </w:rPr>
                  </w:pPr>
                  <w:r>
                    <w:rPr>
                      <w:rFonts w:ascii="仿宋" w:hAnsi="仿宋" w:eastAsia="仿宋" w:cs="Times New Roman"/>
                      <w:sz w:val="18"/>
                      <w:szCs w:val="18"/>
                    </w:rPr>
                    <w:t>总氮</w:t>
                  </w:r>
                  <w:r>
                    <w:rPr>
                      <w:rFonts w:hint="eastAsia" w:ascii="仿宋" w:hAnsi="仿宋" w:eastAsia="仿宋" w:cs="Times New Roman"/>
                      <w:sz w:val="18"/>
                      <w:szCs w:val="18"/>
                    </w:rPr>
                    <w:t>（mg/L）</w:t>
                  </w:r>
                </w:p>
              </w:tc>
              <w:tc>
                <w:tcPr>
                  <w:tcW w:w="550" w:type="pct"/>
                  <w:vAlign w:val="center"/>
                </w:tcPr>
                <w:p>
                  <w:pPr>
                    <w:jc w:val="center"/>
                    <w:rPr>
                      <w:rFonts w:ascii="仿宋" w:hAnsi="仿宋" w:eastAsia="仿宋" w:cs="Times New Roman"/>
                      <w:sz w:val="18"/>
                      <w:szCs w:val="18"/>
                    </w:rPr>
                  </w:pPr>
                  <w:r>
                    <w:rPr>
                      <w:rFonts w:ascii="仿宋" w:hAnsi="仿宋" w:eastAsia="仿宋" w:cs="Times New Roman"/>
                      <w:sz w:val="18"/>
                      <w:szCs w:val="18"/>
                    </w:rPr>
                    <w:t>总磷</w:t>
                  </w:r>
                </w:p>
                <w:p>
                  <w:pPr>
                    <w:jc w:val="center"/>
                    <w:rPr>
                      <w:rFonts w:ascii="仿宋" w:hAnsi="仿宋" w:eastAsia="仿宋" w:cs="Times New Roman"/>
                      <w:sz w:val="18"/>
                      <w:szCs w:val="18"/>
                    </w:rPr>
                  </w:pPr>
                  <w:r>
                    <w:rPr>
                      <w:rFonts w:hint="eastAsia" w:ascii="仿宋" w:hAnsi="仿宋" w:eastAsia="仿宋" w:cs="Times New Roman"/>
                      <w:sz w:val="18"/>
                      <w:szCs w:val="18"/>
                    </w:rPr>
                    <w:t>（mg/L）</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pH</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石油类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预处理</w:t>
                  </w:r>
                </w:p>
                <w:p>
                  <w:pPr>
                    <w:jc w:val="center"/>
                    <w:rPr>
                      <w:rFonts w:ascii="仿宋" w:hAnsi="仿宋" w:eastAsia="仿宋" w:cs="Times New Roman"/>
                      <w:sz w:val="18"/>
                      <w:szCs w:val="18"/>
                    </w:rPr>
                  </w:pPr>
                  <w:r>
                    <w:rPr>
                      <w:rFonts w:hint="eastAsia" w:ascii="仿宋" w:hAnsi="仿宋" w:eastAsia="仿宋" w:cs="Times New Roman"/>
                      <w:sz w:val="18"/>
                      <w:szCs w:val="18"/>
                    </w:rPr>
                    <w:t>进水</w:t>
                  </w:r>
                </w:p>
              </w:tc>
              <w:tc>
                <w:tcPr>
                  <w:tcW w:w="587"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1000~2500</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300~500</w:t>
                  </w:r>
                </w:p>
              </w:tc>
              <w:tc>
                <w:tcPr>
                  <w:tcW w:w="536"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40左右</w:t>
                  </w:r>
                </w:p>
              </w:tc>
              <w:tc>
                <w:tcPr>
                  <w:tcW w:w="57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50左右</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0.6</w:t>
                  </w:r>
                </w:p>
              </w:tc>
              <w:tc>
                <w:tcPr>
                  <w:tcW w:w="550" w:type="pct"/>
                </w:tcPr>
                <w:p>
                  <w:pPr>
                    <w:jc w:val="center"/>
                    <w:rPr>
                      <w:rFonts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ascii="仿宋" w:hAnsi="仿宋" w:eastAsia="仿宋" w:cs="Times New Roman"/>
                      <w:sz w:val="18"/>
                      <w:szCs w:val="18"/>
                    </w:rPr>
                  </w:pPr>
                  <w:r>
                    <w:rPr>
                      <w:rFonts w:hint="eastAsia" w:ascii="仿宋" w:hAnsi="仿宋" w:eastAsia="仿宋" w:cs="Times New Roman"/>
                      <w:sz w:val="18"/>
                      <w:szCs w:val="18"/>
                    </w:rPr>
                    <w:t>500~800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预处理</w:t>
                  </w:r>
                </w:p>
                <w:p>
                  <w:pPr>
                    <w:jc w:val="center"/>
                    <w:rPr>
                      <w:rFonts w:ascii="仿宋" w:hAnsi="仿宋" w:eastAsia="仿宋" w:cs="Times New Roman"/>
                      <w:sz w:val="18"/>
                      <w:szCs w:val="18"/>
                    </w:rPr>
                  </w:pPr>
                  <w:r>
                    <w:rPr>
                      <w:rFonts w:hint="eastAsia" w:ascii="仿宋" w:hAnsi="仿宋" w:eastAsia="仿宋" w:cs="Times New Roman"/>
                      <w:sz w:val="18"/>
                      <w:szCs w:val="18"/>
                    </w:rPr>
                    <w:t>出水</w:t>
                  </w:r>
                </w:p>
              </w:tc>
              <w:tc>
                <w:tcPr>
                  <w:tcW w:w="587"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800~1500</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20~50</w:t>
                  </w:r>
                </w:p>
              </w:tc>
              <w:tc>
                <w:tcPr>
                  <w:tcW w:w="536"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30~40</w:t>
                  </w:r>
                </w:p>
              </w:tc>
              <w:tc>
                <w:tcPr>
                  <w:tcW w:w="57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40左右</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0.1</w:t>
                  </w:r>
                </w:p>
              </w:tc>
              <w:tc>
                <w:tcPr>
                  <w:tcW w:w="550" w:type="pct"/>
                </w:tcPr>
                <w:p>
                  <w:pPr>
                    <w:jc w:val="center"/>
                    <w:rPr>
                      <w:rFonts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ascii="仿宋" w:hAnsi="仿宋" w:eastAsia="仿宋" w:cs="Times New Roman"/>
                      <w:sz w:val="18"/>
                      <w:szCs w:val="18"/>
                    </w:rPr>
                  </w:pPr>
                  <w:r>
                    <w:rPr>
                      <w:rFonts w:hint="eastAsia" w:ascii="仿宋" w:hAnsi="仿宋" w:eastAsia="仿宋" w:cs="Times New Roman"/>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生化出水</w:t>
                  </w:r>
                </w:p>
              </w:tc>
              <w:tc>
                <w:tcPr>
                  <w:tcW w:w="587"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350</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20~50</w:t>
                  </w:r>
                </w:p>
              </w:tc>
              <w:tc>
                <w:tcPr>
                  <w:tcW w:w="536"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2左右</w:t>
                  </w:r>
                </w:p>
              </w:tc>
              <w:tc>
                <w:tcPr>
                  <w:tcW w:w="571"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10左右</w:t>
                  </w:r>
                </w:p>
              </w:tc>
              <w:tc>
                <w:tcPr>
                  <w:tcW w:w="550" w:type="pct"/>
                  <w:vAlign w:val="center"/>
                </w:tcPr>
                <w:p>
                  <w:pPr>
                    <w:jc w:val="center"/>
                    <w:rPr>
                      <w:rFonts w:ascii="仿宋" w:hAnsi="仿宋" w:eastAsia="仿宋" w:cs="Times New Roman"/>
                      <w:sz w:val="18"/>
                      <w:szCs w:val="18"/>
                    </w:rPr>
                  </w:pPr>
                  <w:r>
                    <w:rPr>
                      <w:rFonts w:hint="eastAsia" w:ascii="仿宋" w:hAnsi="仿宋" w:eastAsia="仿宋" w:cs="Times New Roman"/>
                      <w:sz w:val="18"/>
                      <w:szCs w:val="18"/>
                    </w:rPr>
                    <w:t>0.2</w:t>
                  </w:r>
                </w:p>
              </w:tc>
              <w:tc>
                <w:tcPr>
                  <w:tcW w:w="550" w:type="pct"/>
                </w:tcPr>
                <w:p>
                  <w:pPr>
                    <w:jc w:val="center"/>
                    <w:rPr>
                      <w:rFonts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ascii="仿宋" w:hAnsi="仿宋" w:eastAsia="仿宋" w:cs="Times New Roman"/>
                      <w:sz w:val="18"/>
                      <w:szCs w:val="18"/>
                    </w:rPr>
                  </w:pPr>
                  <w:r>
                    <w:rPr>
                      <w:rFonts w:hint="eastAsia" w:ascii="仿宋" w:hAnsi="仿宋" w:eastAsia="仿宋" w:cs="Times New Roman"/>
                      <w:sz w:val="18"/>
                      <w:szCs w:val="18"/>
                    </w:rPr>
                    <w:t>--</w:t>
                  </w:r>
                </w:p>
              </w:tc>
            </w:tr>
          </w:tbl>
          <w:p>
            <w:pPr>
              <w:ind w:firstLine="480" w:firstLineChars="200"/>
              <w:rPr>
                <w:rFonts w:ascii="仿宋" w:hAnsi="仿宋" w:eastAsia="仿宋" w:cs="Times New Roman"/>
                <w:sz w:val="24"/>
                <w:szCs w:val="24"/>
              </w:rPr>
            </w:pPr>
            <w:r>
              <w:rPr>
                <w:rFonts w:hint="eastAsia" w:ascii="仿宋" w:hAnsi="仿宋" w:eastAsia="仿宋" w:cs="Times New Roman"/>
                <w:sz w:val="24"/>
                <w:szCs w:val="24"/>
              </w:rPr>
              <w:t>构建页岩油返排液废水处理技术体系及页岩油水资源循环利用模式，并进行低成本运行。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ascii="仿宋" w:hAnsi="仿宋" w:eastAsia="仿宋" w:cs="Times New Roman"/>
                <w:sz w:val="24"/>
                <w:szCs w:val="24"/>
              </w:rPr>
            </w:pPr>
            <w:r>
              <w:rPr>
                <w:rFonts w:ascii="仿宋" w:hAnsi="仿宋" w:eastAsia="仿宋" w:cs="Times New Roman"/>
                <w:b/>
                <w:sz w:val="24"/>
                <w:szCs w:val="24"/>
              </w:rPr>
              <w:t>二、</w:t>
            </w:r>
            <w:r>
              <w:rPr>
                <w:rFonts w:hint="eastAsia" w:ascii="仿宋" w:hAnsi="仿宋" w:eastAsia="仿宋" w:cs="Times New Roman"/>
                <w:b/>
                <w:sz w:val="24"/>
                <w:szCs w:val="24"/>
              </w:rPr>
              <w:t>揭榜需求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ascii="仿宋" w:hAnsi="仿宋" w:eastAsia="仿宋" w:cs="Times New Roman"/>
                <w:sz w:val="24"/>
                <w:szCs w:val="24"/>
              </w:rPr>
            </w:pPr>
            <w:r>
              <w:rPr>
                <w:rFonts w:ascii="仿宋" w:hAnsi="仿宋" w:eastAsia="仿宋" w:cs="Times New Roman"/>
                <w:sz w:val="24"/>
                <w:szCs w:val="24"/>
              </w:rPr>
              <w:t>1.</w:t>
            </w:r>
            <w:r>
              <w:rPr>
                <w:rFonts w:hint="eastAsia" w:ascii="仿宋" w:hAnsi="仿宋" w:eastAsia="仿宋" w:cs="Times New Roman"/>
                <w:sz w:val="24"/>
                <w:szCs w:val="24"/>
              </w:rPr>
              <w:t>确定膜工艺前深度处理工艺方案；</w:t>
            </w:r>
          </w:p>
          <w:p>
            <w:pPr>
              <w:ind w:firstLine="480" w:firstLineChars="200"/>
              <w:rPr>
                <w:rFonts w:ascii="仿宋" w:hAnsi="仿宋" w:eastAsia="仿宋" w:cs="Times New Roman"/>
                <w:sz w:val="24"/>
                <w:szCs w:val="24"/>
              </w:rPr>
            </w:pPr>
            <w:r>
              <w:rPr>
                <w:rFonts w:ascii="仿宋" w:hAnsi="仿宋" w:eastAsia="仿宋" w:cs="Times New Roman"/>
                <w:sz w:val="24"/>
                <w:szCs w:val="24"/>
              </w:rPr>
              <w:t>2</w:t>
            </w:r>
            <w:r>
              <w:rPr>
                <w:rFonts w:hint="eastAsia" w:ascii="仿宋" w:hAnsi="仿宋" w:eastAsia="仿宋" w:cs="Times New Roman"/>
                <w:sz w:val="24"/>
                <w:szCs w:val="24"/>
              </w:rPr>
              <w:t>.削减水中聚合物等有机组分含量，降低深度处理成本；</w:t>
            </w: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3.研究针对压裂返排液物化处理强化技术。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ascii="仿宋" w:hAnsi="仿宋" w:eastAsia="仿宋" w:cs="Times New Roman"/>
                <w:sz w:val="24"/>
                <w:szCs w:val="24"/>
              </w:rPr>
            </w:pPr>
            <w:r>
              <w:rPr>
                <w:rFonts w:ascii="仿宋" w:hAnsi="仿宋" w:eastAsia="仿宋" w:cs="Times New Roman"/>
                <w:b/>
                <w:sz w:val="24"/>
                <w:szCs w:val="24"/>
              </w:rPr>
              <w:t>三、考核指标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ascii="仿宋" w:hAnsi="仿宋" w:eastAsia="仿宋" w:cs="Times New Roman"/>
                <w:sz w:val="24"/>
                <w:szCs w:val="24"/>
              </w:rPr>
            </w:pPr>
            <w:r>
              <w:rPr>
                <w:rFonts w:ascii="仿宋" w:hAnsi="仿宋" w:eastAsia="仿宋" w:cs="Times New Roman"/>
                <w:bCs/>
                <w:sz w:val="24"/>
                <w:szCs w:val="24"/>
              </w:rPr>
              <w:t>1.</w:t>
            </w:r>
            <w:r>
              <w:rPr>
                <w:rFonts w:hint="eastAsia" w:ascii="仿宋" w:hAnsi="仿宋" w:eastAsia="仿宋" w:cs="Times New Roman"/>
                <w:bCs/>
                <w:sz w:val="24"/>
                <w:szCs w:val="24"/>
              </w:rPr>
              <w:t>提出</w:t>
            </w:r>
            <w:r>
              <w:rPr>
                <w:rFonts w:hint="eastAsia" w:ascii="仿宋" w:hAnsi="仿宋" w:eastAsia="仿宋" w:cs="Times New Roman"/>
                <w:sz w:val="24"/>
                <w:szCs w:val="24"/>
              </w:rPr>
              <w:t>膜工艺前深度处理工艺方案，出水C</w:t>
            </w:r>
            <w:r>
              <w:rPr>
                <w:rFonts w:ascii="仿宋" w:hAnsi="仿宋" w:eastAsia="仿宋" w:cs="Times New Roman"/>
                <w:sz w:val="24"/>
                <w:szCs w:val="24"/>
              </w:rPr>
              <w:t>OD</w:t>
            </w:r>
            <w:r>
              <w:rPr>
                <w:rFonts w:hint="eastAsia" w:ascii="仿宋" w:hAnsi="仿宋" w:eastAsia="仿宋" w:cs="Times New Roman"/>
                <w:sz w:val="24"/>
                <w:szCs w:val="24"/>
              </w:rPr>
              <w:t>达到8</w:t>
            </w:r>
            <w:r>
              <w:rPr>
                <w:rFonts w:ascii="仿宋" w:hAnsi="仿宋" w:eastAsia="仿宋" w:cs="Times New Roman"/>
                <w:sz w:val="24"/>
                <w:szCs w:val="24"/>
              </w:rPr>
              <w:t>0</w:t>
            </w:r>
            <w:r>
              <w:rPr>
                <w:rFonts w:hint="eastAsia" w:ascii="仿宋" w:hAnsi="仿宋" w:eastAsia="仿宋" w:cs="Times New Roman"/>
                <w:sz w:val="24"/>
                <w:szCs w:val="24"/>
              </w:rPr>
              <w:t>-</w:t>
            </w:r>
            <w:r>
              <w:rPr>
                <w:rFonts w:ascii="仿宋" w:hAnsi="仿宋" w:eastAsia="仿宋" w:cs="Times New Roman"/>
                <w:sz w:val="24"/>
                <w:szCs w:val="24"/>
              </w:rPr>
              <w:t>120</w:t>
            </w:r>
            <w:r>
              <w:rPr>
                <w:rFonts w:hint="eastAsia" w:ascii="仿宋" w:hAnsi="仿宋" w:eastAsia="仿宋" w:cs="Times New Roman"/>
                <w:sz w:val="24"/>
                <w:szCs w:val="24"/>
              </w:rPr>
              <w:t>、其他指标满足地表水五类标准（TDS除外）；</w:t>
            </w:r>
          </w:p>
          <w:p>
            <w:pPr>
              <w:ind w:firstLine="480" w:firstLineChars="200"/>
              <w:rPr>
                <w:rFonts w:ascii="仿宋" w:hAnsi="仿宋" w:eastAsia="仿宋" w:cs="Times New Roman"/>
                <w:bCs/>
                <w:sz w:val="24"/>
                <w:szCs w:val="24"/>
              </w:rPr>
            </w:pPr>
            <w:r>
              <w:rPr>
                <w:rFonts w:ascii="仿宋" w:hAnsi="仿宋" w:eastAsia="仿宋" w:cs="Times New Roman"/>
                <w:bCs/>
                <w:sz w:val="24"/>
                <w:szCs w:val="24"/>
              </w:rPr>
              <w:t>2</w:t>
            </w:r>
            <w:r>
              <w:rPr>
                <w:rFonts w:hint="eastAsia" w:ascii="仿宋" w:hAnsi="仿宋" w:eastAsia="仿宋" w:cs="Times New Roman"/>
                <w:bCs/>
                <w:sz w:val="24"/>
                <w:szCs w:val="24"/>
              </w:rPr>
              <w:t>.物化深度</w:t>
            </w:r>
            <w:r>
              <w:rPr>
                <w:rFonts w:hint="eastAsia" w:ascii="仿宋" w:hAnsi="仿宋" w:eastAsia="仿宋" w:cs="Times New Roman"/>
                <w:bCs/>
                <w:sz w:val="24"/>
                <w:szCs w:val="24"/>
                <w:lang w:val="en-US" w:eastAsia="zh-CN"/>
              </w:rPr>
              <w:t>工艺</w:t>
            </w:r>
            <w:r>
              <w:rPr>
                <w:rFonts w:hint="eastAsia" w:ascii="仿宋" w:hAnsi="仿宋" w:eastAsia="仿宋" w:cs="Times New Roman"/>
                <w:bCs/>
                <w:sz w:val="24"/>
                <w:szCs w:val="24"/>
                <w:lang w:val="en-US" w:eastAsia="zh-CN"/>
              </w:rPr>
              <w:t>全量化</w:t>
            </w:r>
            <w:r>
              <w:rPr>
                <w:rFonts w:hint="eastAsia" w:ascii="仿宋" w:hAnsi="仿宋" w:eastAsia="仿宋" w:cs="Times New Roman"/>
                <w:bCs/>
                <w:sz w:val="24"/>
                <w:szCs w:val="24"/>
              </w:rPr>
              <w:t>处理成本不超过</w:t>
            </w:r>
            <w:r>
              <w:rPr>
                <w:rFonts w:hint="eastAsia" w:ascii="仿宋" w:hAnsi="仿宋" w:eastAsia="仿宋" w:cs="Times New Roman"/>
                <w:bCs/>
                <w:sz w:val="24"/>
                <w:szCs w:val="24"/>
                <w:lang w:val="en-US" w:eastAsia="zh-CN"/>
              </w:rPr>
              <w:t>2.6</w:t>
            </w:r>
            <w:r>
              <w:rPr>
                <w:rFonts w:hint="eastAsia" w:ascii="仿宋" w:hAnsi="仿宋" w:eastAsia="仿宋" w:cs="Times New Roman"/>
                <w:bCs/>
                <w:sz w:val="24"/>
                <w:szCs w:val="24"/>
              </w:rPr>
              <w:t>元/吨；</w:t>
            </w:r>
          </w:p>
          <w:p>
            <w:pPr>
              <w:ind w:firstLine="480" w:firstLineChars="200"/>
              <w:rPr>
                <w:rFonts w:ascii="仿宋" w:hAnsi="仿宋" w:eastAsia="仿宋" w:cs="Times New Roman"/>
                <w:bCs/>
                <w:sz w:val="24"/>
                <w:szCs w:val="24"/>
              </w:rPr>
            </w:pPr>
            <w:r>
              <w:rPr>
                <w:rFonts w:ascii="仿宋" w:hAnsi="仿宋" w:eastAsia="仿宋" w:cs="Times New Roman"/>
                <w:bCs/>
                <w:sz w:val="24"/>
                <w:szCs w:val="24"/>
              </w:rPr>
              <w:t>3</w:t>
            </w:r>
            <w:r>
              <w:rPr>
                <w:rFonts w:hint="eastAsia" w:ascii="仿宋" w:hAnsi="仿宋" w:eastAsia="仿宋" w:cs="Times New Roman"/>
                <w:bCs/>
                <w:sz w:val="24"/>
                <w:szCs w:val="24"/>
              </w:rPr>
              <w:t>.提供</w:t>
            </w:r>
            <w:r>
              <w:rPr>
                <w:rFonts w:hint="eastAsia" w:ascii="仿宋" w:hAnsi="仿宋" w:eastAsia="仿宋" w:cs="Times New Roman"/>
                <w:sz w:val="24"/>
                <w:szCs w:val="24"/>
              </w:rPr>
              <w:t>适用于压裂返排液处置的物化深度处理技术方案。</w:t>
            </w:r>
          </w:p>
          <w:p>
            <w:pPr>
              <w:ind w:firstLine="480" w:firstLineChars="200"/>
              <w:rPr>
                <w:rFonts w:ascii="仿宋" w:hAnsi="仿宋" w:eastAsia="仿宋" w:cs="Times New Roman"/>
                <w:bCs/>
                <w:sz w:val="24"/>
                <w:szCs w:val="24"/>
              </w:rPr>
            </w:pPr>
            <w:r>
              <w:rPr>
                <w:rFonts w:ascii="仿宋" w:hAnsi="仿宋" w:eastAsia="仿宋" w:cs="Times New Roman"/>
                <w:bCs/>
                <w:sz w:val="24"/>
                <w:szCs w:val="24"/>
              </w:rPr>
              <w:t>4</w:t>
            </w:r>
            <w:r>
              <w:rPr>
                <w:rFonts w:hint="eastAsia" w:ascii="仿宋" w:hAnsi="仿宋" w:eastAsia="仿宋" w:cs="Times New Roman"/>
                <w:bCs/>
                <w:sz w:val="24"/>
                <w:szCs w:val="24"/>
              </w:rPr>
              <w:t>.</w:t>
            </w:r>
            <w:r>
              <w:rPr>
                <w:rFonts w:hint="eastAsia" w:ascii="仿宋" w:hAnsi="仿宋" w:eastAsia="仿宋" w:cs="Times New Roman"/>
                <w:bCs/>
                <w:sz w:val="24"/>
                <w:szCs w:val="24"/>
              </w:rPr>
              <w:t>申请发明专利</w:t>
            </w:r>
            <w:r>
              <w:rPr>
                <w:rFonts w:hint="eastAsia" w:ascii="仿宋" w:hAnsi="仿宋" w:eastAsia="仿宋" w:cs="Times New Roman"/>
                <w:bCs/>
                <w:sz w:val="24"/>
                <w:szCs w:val="24"/>
                <w:lang w:val="en-US" w:eastAsia="zh-CN"/>
              </w:rPr>
              <w:t>3项、</w:t>
            </w:r>
            <w:r>
              <w:rPr>
                <w:rFonts w:hint="eastAsia" w:ascii="仿宋" w:hAnsi="仿宋" w:eastAsia="仿宋" w:cs="Times New Roman"/>
                <w:bCs/>
                <w:sz w:val="24"/>
                <w:szCs w:val="24"/>
              </w:rPr>
              <w:t>实用新型</w:t>
            </w:r>
            <w:r>
              <w:rPr>
                <w:rFonts w:hint="eastAsia" w:ascii="仿宋" w:hAnsi="仿宋" w:eastAsia="仿宋" w:cs="Times New Roman"/>
                <w:bCs/>
                <w:sz w:val="24"/>
                <w:szCs w:val="24"/>
                <w:lang w:val="en-US" w:eastAsia="zh-CN"/>
              </w:rPr>
              <w:t>专利5</w:t>
            </w:r>
            <w:r>
              <w:rPr>
                <w:rFonts w:hint="eastAsia" w:ascii="仿宋" w:hAnsi="仿宋" w:eastAsia="仿宋" w:cs="Times New Roman"/>
                <w:bCs/>
                <w:sz w:val="24"/>
                <w:szCs w:val="24"/>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ascii="仿宋" w:hAnsi="仿宋" w:eastAsia="仿宋" w:cs="Times New Roman"/>
                <w:bCs/>
                <w:sz w:val="24"/>
                <w:szCs w:val="24"/>
              </w:rPr>
            </w:pPr>
            <w:r>
              <w:rPr>
                <w:rFonts w:hint="eastAsia" w:ascii="仿宋" w:hAnsi="仿宋" w:eastAsia="仿宋" w:cs="Times New Roman"/>
                <w:b/>
                <w:sz w:val="24"/>
                <w:szCs w:val="24"/>
              </w:rPr>
              <w:t>四、揭榜团队要求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bCs/>
                <w:sz w:val="24"/>
                <w:szCs w:val="24"/>
              </w:rPr>
            </w:pPr>
            <w:r>
              <w:rPr>
                <w:rFonts w:hint="eastAsia" w:ascii="仿宋" w:hAnsi="仿宋" w:eastAsia="仿宋" w:cs="Times New Roman"/>
                <w:bCs/>
                <w:sz w:val="24"/>
                <w:szCs w:val="24"/>
              </w:rPr>
              <w:t>团队应具有工业污水处理厂升级改造设计调试经验，所用技术应具有工业污水处理厂升级改造的实际工程案例</w:t>
            </w:r>
            <w:r>
              <w:rPr>
                <w:rFonts w:hint="eastAsia" w:ascii="仿宋" w:hAnsi="仿宋" w:eastAsia="仿宋" w:cs="Times New Roman"/>
                <w:bCs/>
                <w:sz w:val="24"/>
                <w:szCs w:val="24"/>
                <w:lang w:eastAsia="zh-CN"/>
              </w:rPr>
              <w:t>，</w:t>
            </w:r>
            <w:r>
              <w:rPr>
                <w:rFonts w:hint="eastAsia" w:ascii="仿宋" w:hAnsi="仿宋" w:eastAsia="仿宋" w:cs="Times New Roman"/>
                <w:bCs/>
                <w:sz w:val="24"/>
                <w:szCs w:val="24"/>
              </w:rPr>
              <w:t>拥有污水厂深度处理工艺相关国家发明专利支撑，</w:t>
            </w:r>
            <w:r>
              <w:rPr>
                <w:rFonts w:hint="eastAsia" w:ascii="仿宋" w:hAnsi="仿宋" w:eastAsia="仿宋" w:cs="Times New Roman"/>
                <w:bCs/>
                <w:sz w:val="24"/>
                <w:szCs w:val="24"/>
                <w:lang w:val="en-US" w:eastAsia="zh-CN"/>
              </w:rPr>
              <w:t>优先考虑曾利用此类专利在课题或项目中取得省级及以上奖项的候选团队。</w:t>
            </w:r>
            <w:bookmarkStart w:id="0" w:name="_GoBack"/>
            <w:bookmarkEnd w:id="0"/>
          </w:p>
          <w:p>
            <w:pPr>
              <w:ind w:firstLine="480" w:firstLineChars="200"/>
              <w:rPr>
                <w:rFonts w:hint="eastAsia" w:ascii="仿宋" w:hAnsi="仿宋" w:eastAsia="仿宋" w:cs="Times New Roman"/>
                <w:bCs/>
                <w:sz w:val="24"/>
                <w:szCs w:val="24"/>
                <w:lang w:eastAsia="zh-CN"/>
              </w:rPr>
            </w:pPr>
          </w:p>
          <w:p>
            <w:pPr>
              <w:ind w:firstLine="480" w:firstLineChars="200"/>
              <w:rPr>
                <w:rFonts w:ascii="仿宋" w:hAnsi="仿宋" w:eastAsia="仿宋" w:cs="Times New Roman"/>
                <w:bCs/>
                <w:sz w:val="24"/>
                <w:szCs w:val="24"/>
              </w:rPr>
            </w:pPr>
            <w:r>
              <w:rPr>
                <w:rFonts w:hint="eastAsia" w:ascii="仿宋" w:hAnsi="仿宋" w:eastAsia="仿宋" w:cs="Times New Roman"/>
                <w:bCs/>
                <w:sz w:val="24"/>
                <w:szCs w:val="24"/>
              </w:rPr>
              <w:t>课题实施周期</w:t>
            </w:r>
            <w:r>
              <w:rPr>
                <w:rFonts w:ascii="仿宋" w:hAnsi="仿宋" w:eastAsia="仿宋" w:cs="Times New Roman"/>
                <w:bCs/>
                <w:sz w:val="24"/>
                <w:szCs w:val="24"/>
              </w:rPr>
              <w:t>12</w:t>
            </w:r>
            <w:r>
              <w:rPr>
                <w:rFonts w:hint="eastAsia" w:ascii="仿宋" w:hAnsi="仿宋" w:eastAsia="仿宋" w:cs="Times New Roman"/>
                <w:bCs/>
                <w:sz w:val="24"/>
                <w:szCs w:val="24"/>
              </w:rPr>
              <w:t>个月；分阶段提供成果。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ascii="仿宋" w:hAnsi="仿宋" w:eastAsia="仿宋" w:cs="Times New Roman"/>
                <w:bCs/>
                <w:sz w:val="24"/>
                <w:szCs w:val="24"/>
              </w:rPr>
            </w:pPr>
            <w:r>
              <w:rPr>
                <w:rFonts w:hint="eastAsia" w:ascii="仿宋" w:hAnsi="仿宋" w:eastAsia="仿宋" w:cs="Times New Roman"/>
                <w:b/>
                <w:sz w:val="24"/>
                <w:szCs w:val="24"/>
              </w:rPr>
              <w:t>五、</w:t>
            </w:r>
            <w:r>
              <w:rPr>
                <w:rFonts w:ascii="仿宋" w:hAnsi="仿宋" w:eastAsia="仿宋" w:cs="Times New Roman"/>
                <w:b/>
                <w:sz w:val="24"/>
                <w:szCs w:val="24"/>
              </w:rPr>
              <w:t>课题实施金额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ascii="仿宋" w:hAnsi="仿宋" w:eastAsia="仿宋" w:cs="Times New Roman"/>
                <w:bCs/>
                <w:sz w:val="24"/>
                <w:szCs w:val="24"/>
              </w:rPr>
            </w:pPr>
            <w:r>
              <w:rPr>
                <w:rFonts w:ascii="仿宋" w:hAnsi="仿宋" w:eastAsia="仿宋" w:cs="Times New Roman"/>
                <w:bCs/>
                <w:sz w:val="24"/>
                <w:szCs w:val="24"/>
              </w:rPr>
              <w:t>本课题总金额1</w:t>
            </w:r>
            <w:r>
              <w:rPr>
                <w:rFonts w:hint="eastAsia" w:ascii="仿宋" w:hAnsi="仿宋" w:eastAsia="仿宋" w:cs="Times New Roman"/>
                <w:bCs/>
                <w:sz w:val="24"/>
                <w:szCs w:val="24"/>
              </w:rPr>
              <w:t>00</w:t>
            </w:r>
            <w:r>
              <w:rPr>
                <w:rFonts w:ascii="仿宋" w:hAnsi="仿宋" w:eastAsia="仿宋" w:cs="Times New Roman"/>
                <w:bCs/>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ascii="仿宋" w:hAnsi="仿宋" w:eastAsia="仿宋" w:cs="Times New Roman"/>
                <w:bCs/>
                <w:sz w:val="24"/>
                <w:szCs w:val="24"/>
              </w:rPr>
            </w:pPr>
            <w:r>
              <w:rPr>
                <w:rFonts w:hint="eastAsia" w:ascii="仿宋" w:hAnsi="仿宋" w:eastAsia="仿宋" w:cs="Times New Roman"/>
                <w:b/>
                <w:sz w:val="24"/>
                <w:szCs w:val="24"/>
              </w:rPr>
              <w:t>六、技术联系人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ascii="仿宋" w:hAnsi="仿宋" w:eastAsia="仿宋" w:cs="Times New Roman"/>
                <w:bCs/>
                <w:sz w:val="24"/>
                <w:szCs w:val="24"/>
              </w:rPr>
            </w:pPr>
            <w:r>
              <w:rPr>
                <w:rFonts w:hint="eastAsia" w:ascii="仿宋" w:hAnsi="仿宋" w:eastAsia="仿宋" w:cs="Times New Roman"/>
                <w:bCs/>
                <w:sz w:val="24"/>
                <w:szCs w:val="24"/>
              </w:rPr>
              <w:t>陶红志 18345085550</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FiYTRkNjRhNDFiOTgzZTFhNTkzYjlkOGQ1ZWI5ODAifQ=="/>
    <w:docVar w:name="KSO_WPS_MARK_KEY" w:val="c9711064-d56c-42ad-92d9-f209c8daeeb8"/>
  </w:docVars>
  <w:rsids>
    <w:rsidRoot w:val="00F268D5"/>
    <w:rsid w:val="000A5BB9"/>
    <w:rsid w:val="00111769"/>
    <w:rsid w:val="001E27AA"/>
    <w:rsid w:val="003D6BDD"/>
    <w:rsid w:val="00461229"/>
    <w:rsid w:val="004A4FA0"/>
    <w:rsid w:val="004D2A64"/>
    <w:rsid w:val="005A0796"/>
    <w:rsid w:val="005A14A9"/>
    <w:rsid w:val="005E6596"/>
    <w:rsid w:val="006948B8"/>
    <w:rsid w:val="00762083"/>
    <w:rsid w:val="00771C35"/>
    <w:rsid w:val="00854936"/>
    <w:rsid w:val="00911DDA"/>
    <w:rsid w:val="00957709"/>
    <w:rsid w:val="0099308B"/>
    <w:rsid w:val="009F0E15"/>
    <w:rsid w:val="00A571E8"/>
    <w:rsid w:val="00A608EC"/>
    <w:rsid w:val="00AC3076"/>
    <w:rsid w:val="00B72C1D"/>
    <w:rsid w:val="00BC52E7"/>
    <w:rsid w:val="00C13C63"/>
    <w:rsid w:val="00C5634E"/>
    <w:rsid w:val="00C67320"/>
    <w:rsid w:val="00CC635A"/>
    <w:rsid w:val="00D07D92"/>
    <w:rsid w:val="00DA0732"/>
    <w:rsid w:val="00DF284E"/>
    <w:rsid w:val="00E2179C"/>
    <w:rsid w:val="00E27C14"/>
    <w:rsid w:val="00E661AE"/>
    <w:rsid w:val="00E71212"/>
    <w:rsid w:val="00EC7D61"/>
    <w:rsid w:val="00EF68EB"/>
    <w:rsid w:val="00F13F8F"/>
    <w:rsid w:val="00F2140A"/>
    <w:rsid w:val="00F268D5"/>
    <w:rsid w:val="13E36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2"/>
    <w:basedOn w:val="3"/>
    <w:next w:val="1"/>
    <w:link w:val="9"/>
    <w:semiHidden/>
    <w:unhideWhenUsed/>
    <w:qFormat/>
    <w:uiPriority w:val="0"/>
    <w:pPr>
      <w:keepNext/>
      <w:keepLines/>
      <w:spacing w:line="360" w:lineRule="auto"/>
      <w:ind w:firstLine="0" w:firstLineChars="0"/>
      <w:outlineLvl w:val="1"/>
    </w:pPr>
    <w:rPr>
      <w:rFonts w:ascii="Times New Roman" w:hAnsi="Times New Roman" w:eastAsia="宋体" w:cstheme="minorBidi"/>
      <w:b/>
      <w:sz w:val="28"/>
      <w:szCs w:val="2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List Paragraph"/>
    <w:basedOn w:val="1"/>
    <w:qFormat/>
    <w:uiPriority w:val="34"/>
    <w:pPr>
      <w:ind w:firstLine="420" w:firstLine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8">
    <w:name w:val="三线表"/>
    <w:basedOn w:val="6"/>
    <w:uiPriority w:val="99"/>
    <w:pPr>
      <w:jc w:val="center"/>
    </w:pPr>
    <w:tblPr>
      <w:tblBorders>
        <w:top w:val="single" w:color="auto" w:sz="4" w:space="0"/>
        <w:bottom w:val="single" w:color="auto" w:sz="4" w:space="0"/>
      </w:tblBorders>
    </w:tblPr>
    <w:tcPr>
      <w:vAlign w:val="center"/>
    </w:tcPr>
  </w:style>
  <w:style w:type="character" w:customStyle="1" w:styleId="9">
    <w:name w:val="标题 2 字符"/>
    <w:basedOn w:val="7"/>
    <w:link w:val="2"/>
    <w:semiHidden/>
    <w:uiPriority w:val="0"/>
    <w:rPr>
      <w:rFonts w:ascii="Times New Roman" w:hAnsi="Times New Roman" w:eastAsia="宋体"/>
      <w:b/>
      <w:sz w:val="28"/>
      <w:szCs w:val="28"/>
    </w:rPr>
  </w:style>
  <w:style w:type="character" w:customStyle="1" w:styleId="10">
    <w:name w:val="页眉 字符"/>
    <w:basedOn w:val="7"/>
    <w:link w:val="5"/>
    <w:qFormat/>
    <w:uiPriority w:val="99"/>
    <w:rPr>
      <w:rFonts w:ascii="等线" w:hAnsi="等线" w:eastAsia="等线" w:cs="宋体"/>
      <w:sz w:val="18"/>
      <w:szCs w:val="18"/>
    </w:rPr>
  </w:style>
  <w:style w:type="character" w:customStyle="1" w:styleId="11">
    <w:name w:val="页脚 字符"/>
    <w:basedOn w:val="7"/>
    <w:link w:val="4"/>
    <w:qFormat/>
    <w:uiPriority w:val="99"/>
    <w:rPr>
      <w:rFonts w:ascii="等线" w:hAnsi="等线" w:eastAsia="等线" w:cs="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795</Words>
  <Characters>942</Characters>
  <Lines>7</Lines>
  <Paragraphs>2</Paragraphs>
  <TotalTime>0</TotalTime>
  <ScaleCrop>false</ScaleCrop>
  <LinksUpToDate>false</LinksUpToDate>
  <CharactersWithSpaces>943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2024-08-29T01:34:00Z</dcterms:created>
  <dc:creator>范胜强</dc:creator>
  <cp:lastModifiedBy>爱与执着</cp:lastModifiedBy>
  <dcterms:modified xsi:type="dcterms:W3CDTF">2024-09-02T03:20:00Z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F1570E4EF8144AFCB042838921B7891D_12</vt:lpwstr>
  </property>
</Properties>
</file>